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AA1" w:rsidRPr="00D206B8" w:rsidRDefault="00483AA1" w:rsidP="00D206B8">
      <w:pPr>
        <w:spacing w:after="0" w:line="276" w:lineRule="auto"/>
        <w:jc w:val="right"/>
        <w:rPr>
          <w:rFonts w:ascii="Calibri" w:eastAsia="Times New Roman" w:hAnsi="Calibri" w:cs="Times New Roman"/>
        </w:rPr>
      </w:pPr>
    </w:p>
    <w:p w:rsidR="00483AA1" w:rsidRPr="00D206B8" w:rsidRDefault="00483AA1" w:rsidP="00D206B8">
      <w:pPr>
        <w:spacing w:after="0" w:line="276" w:lineRule="auto"/>
        <w:jc w:val="center"/>
        <w:rPr>
          <w:rFonts w:ascii="Calibri" w:eastAsia="Times New Roman" w:hAnsi="Calibri" w:cs="Times New Roman"/>
          <w:b/>
        </w:rPr>
      </w:pPr>
      <w:r w:rsidRPr="00D206B8">
        <w:rPr>
          <w:rFonts w:ascii="Calibri" w:eastAsia="Times New Roman" w:hAnsi="Calibri" w:cs="Times New Roman"/>
          <w:b/>
        </w:rPr>
        <w:t xml:space="preserve">BİRLEŞMİŞ MİLLETLER </w:t>
      </w:r>
    </w:p>
    <w:p w:rsidR="00483AA1" w:rsidRPr="00D206B8" w:rsidRDefault="00483AA1" w:rsidP="00D206B8">
      <w:pPr>
        <w:spacing w:after="0" w:line="276" w:lineRule="auto"/>
        <w:jc w:val="center"/>
        <w:rPr>
          <w:rFonts w:ascii="Calibri" w:eastAsia="Times New Roman" w:hAnsi="Calibri" w:cs="Times New Roman"/>
          <w:b/>
        </w:rPr>
      </w:pPr>
      <w:r w:rsidRPr="00D206B8">
        <w:rPr>
          <w:rFonts w:ascii="Calibri" w:eastAsia="Times New Roman" w:hAnsi="Calibri" w:cs="Times New Roman"/>
          <w:b/>
        </w:rPr>
        <w:t>MİLLETLERARASI TİCARET HUKUKU KOMİSYONU</w:t>
      </w:r>
    </w:p>
    <w:p w:rsidR="00483AA1" w:rsidRPr="00D206B8" w:rsidRDefault="00483AA1" w:rsidP="00D206B8">
      <w:pPr>
        <w:spacing w:after="0" w:line="276" w:lineRule="auto"/>
        <w:jc w:val="center"/>
        <w:rPr>
          <w:rFonts w:ascii="Calibri" w:eastAsia="Times New Roman" w:hAnsi="Calibri" w:cs="Times New Roman"/>
          <w:b/>
        </w:rPr>
      </w:pPr>
      <w:r w:rsidRPr="00D206B8">
        <w:rPr>
          <w:rFonts w:ascii="Calibri" w:eastAsia="Times New Roman" w:hAnsi="Calibri" w:cs="Times New Roman"/>
          <w:b/>
        </w:rPr>
        <w:t xml:space="preserve">(UNCITRAL) ÇALIŞMA GRUBU II </w:t>
      </w:r>
    </w:p>
    <w:p w:rsidR="00483AA1" w:rsidRPr="00D206B8" w:rsidRDefault="00483AA1" w:rsidP="00D206B8">
      <w:pPr>
        <w:spacing w:after="0" w:line="276" w:lineRule="auto"/>
        <w:jc w:val="center"/>
        <w:rPr>
          <w:rFonts w:ascii="Calibri" w:eastAsia="Times New Roman" w:hAnsi="Calibri" w:cs="Times New Roman"/>
          <w:b/>
        </w:rPr>
      </w:pPr>
      <w:r w:rsidRPr="00D206B8">
        <w:rPr>
          <w:rFonts w:ascii="Calibri" w:eastAsia="Times New Roman" w:hAnsi="Calibri" w:cs="Times New Roman"/>
          <w:b/>
        </w:rPr>
        <w:t xml:space="preserve">(Tahkim - Uzlaştırma) </w:t>
      </w:r>
    </w:p>
    <w:p w:rsidR="00483AA1" w:rsidRPr="00D206B8" w:rsidRDefault="00483AA1" w:rsidP="00D206B8">
      <w:pPr>
        <w:spacing w:after="0" w:line="276" w:lineRule="auto"/>
        <w:jc w:val="center"/>
        <w:rPr>
          <w:rFonts w:ascii="Calibri" w:eastAsia="Times New Roman" w:hAnsi="Calibri" w:cs="Times New Roman"/>
          <w:b/>
        </w:rPr>
      </w:pPr>
    </w:p>
    <w:p w:rsidR="00483AA1" w:rsidRPr="00D206B8" w:rsidRDefault="005E3C14" w:rsidP="00D206B8">
      <w:pPr>
        <w:spacing w:after="0" w:line="276" w:lineRule="auto"/>
        <w:jc w:val="center"/>
        <w:rPr>
          <w:rFonts w:ascii="Calibri" w:eastAsia="Times New Roman" w:hAnsi="Calibri" w:cs="Times New Roman"/>
          <w:b/>
        </w:rPr>
      </w:pPr>
      <w:r w:rsidRPr="00D206B8">
        <w:rPr>
          <w:rFonts w:ascii="Calibri" w:eastAsia="Times New Roman" w:hAnsi="Calibri" w:cs="Times New Roman"/>
          <w:b/>
        </w:rPr>
        <w:t>2-6 Ekim 2017 tarihli 67. Toplantı (Viyana</w:t>
      </w:r>
      <w:r w:rsidR="00483AA1" w:rsidRPr="00D206B8">
        <w:rPr>
          <w:rFonts w:ascii="Calibri" w:eastAsia="Times New Roman" w:hAnsi="Calibri" w:cs="Times New Roman"/>
          <w:b/>
        </w:rPr>
        <w:t xml:space="preserve">) </w:t>
      </w:r>
    </w:p>
    <w:p w:rsidR="00483AA1" w:rsidRPr="00D206B8" w:rsidRDefault="00483AA1" w:rsidP="00D206B8">
      <w:pPr>
        <w:spacing w:after="0" w:line="276" w:lineRule="auto"/>
        <w:jc w:val="center"/>
        <w:rPr>
          <w:rFonts w:ascii="Calibri" w:eastAsia="Times New Roman" w:hAnsi="Calibri" w:cs="Times New Roman"/>
          <w:b/>
        </w:rPr>
      </w:pPr>
      <w:r w:rsidRPr="00D206B8">
        <w:rPr>
          <w:rFonts w:ascii="Calibri" w:eastAsia="Times New Roman" w:hAnsi="Calibri" w:cs="Times New Roman"/>
          <w:b/>
        </w:rPr>
        <w:t>Bilgilendirme Notu</w:t>
      </w:r>
    </w:p>
    <w:p w:rsidR="00483AA1" w:rsidRPr="00D206B8" w:rsidRDefault="00483AA1" w:rsidP="00D206B8">
      <w:pPr>
        <w:spacing w:after="0" w:line="276" w:lineRule="auto"/>
        <w:jc w:val="center"/>
        <w:rPr>
          <w:rFonts w:ascii="Calibri" w:eastAsia="Times New Roman" w:hAnsi="Calibri" w:cs="Times New Roman"/>
          <w:b/>
        </w:rPr>
      </w:pPr>
      <w:r w:rsidRPr="00D206B8">
        <w:rPr>
          <w:rFonts w:ascii="Calibri" w:eastAsia="Times New Roman" w:hAnsi="Calibri" w:cs="Times New Roman"/>
          <w:b/>
        </w:rPr>
        <w:t>(Özet)</w:t>
      </w:r>
    </w:p>
    <w:p w:rsidR="00483AA1" w:rsidRPr="00D206B8" w:rsidRDefault="00483AA1" w:rsidP="00D206B8">
      <w:pPr>
        <w:spacing w:after="0" w:line="276" w:lineRule="auto"/>
        <w:rPr>
          <w:rFonts w:ascii="Calibri" w:eastAsia="Times New Roman" w:hAnsi="Calibri" w:cs="Times New Roman"/>
        </w:rPr>
      </w:pPr>
    </w:p>
    <w:p w:rsidR="00483AA1" w:rsidRPr="00D206B8" w:rsidRDefault="005E3C14" w:rsidP="00D206B8">
      <w:pPr>
        <w:spacing w:after="0" w:line="276" w:lineRule="auto"/>
        <w:jc w:val="both"/>
        <w:rPr>
          <w:rFonts w:ascii="Calibri" w:eastAsia="Times New Roman" w:hAnsi="Calibri" w:cs="Times New Roman"/>
        </w:rPr>
      </w:pPr>
      <w:r w:rsidRPr="00D206B8">
        <w:rPr>
          <w:rFonts w:ascii="Calibri" w:eastAsia="Times New Roman" w:hAnsi="Calibri" w:cs="Times New Roman"/>
        </w:rPr>
        <w:t>2-6 Ekim 2017 tarihlerinde Viyana’daki Birleşmiş Milletler yerleşkesinde</w:t>
      </w:r>
      <w:r w:rsidR="00483AA1" w:rsidRPr="00D206B8">
        <w:rPr>
          <w:rFonts w:ascii="Calibri" w:eastAsia="Times New Roman" w:hAnsi="Calibri" w:cs="Times New Roman"/>
        </w:rPr>
        <w:t xml:space="preserve"> gerçekleşen Çalışma Grubu</w:t>
      </w:r>
      <w:r w:rsidRPr="00D206B8">
        <w:rPr>
          <w:rFonts w:ascii="Calibri" w:eastAsia="Times New Roman" w:hAnsi="Calibri" w:cs="Times New Roman"/>
        </w:rPr>
        <w:t xml:space="preserve"> II’nin (Tahkim-Arabuluculuk) 67</w:t>
      </w:r>
      <w:r w:rsidR="00483AA1" w:rsidRPr="00D206B8">
        <w:rPr>
          <w:rFonts w:ascii="Calibri" w:eastAsia="Times New Roman" w:hAnsi="Calibri" w:cs="Times New Roman"/>
        </w:rPr>
        <w:t xml:space="preserve">. toplantısının konusunu </w:t>
      </w:r>
      <w:r w:rsidR="00483AA1" w:rsidRPr="00D206B8">
        <w:rPr>
          <w:rFonts w:ascii="Calibri" w:eastAsia="Times New Roman" w:hAnsi="Calibri" w:cs="Times New Roman"/>
          <w:b/>
        </w:rPr>
        <w:t>“</w:t>
      </w:r>
      <w:r w:rsidRPr="00D206B8">
        <w:rPr>
          <w:rFonts w:ascii="Calibri" w:eastAsia="Times New Roman" w:hAnsi="Calibri" w:cs="Times New Roman"/>
          <w:b/>
        </w:rPr>
        <w:t>Uluslararası Nitelikli Ticari Anlaşmazlıklara İlişkin Uzlaştırma Sonucu Ortaya Çıkan Sulh Sözleşmelerinin</w:t>
      </w:r>
      <w:r w:rsidRPr="00D206B8">
        <w:rPr>
          <w:rFonts w:ascii="Calibri" w:eastAsia="Times New Roman" w:hAnsi="Calibri" w:cs="Times New Roman"/>
          <w:b/>
          <w:bCs/>
        </w:rPr>
        <w:t xml:space="preserve"> </w:t>
      </w:r>
      <w:r w:rsidR="00483AA1" w:rsidRPr="00D206B8">
        <w:rPr>
          <w:rFonts w:ascii="Calibri" w:eastAsia="Times New Roman" w:hAnsi="Calibri" w:cs="Times New Roman"/>
          <w:b/>
          <w:bCs/>
        </w:rPr>
        <w:t>İcr</w:t>
      </w:r>
      <w:r w:rsidRPr="00D206B8">
        <w:rPr>
          <w:rFonts w:ascii="Calibri" w:eastAsia="Times New Roman" w:hAnsi="Calibri" w:cs="Times New Roman"/>
          <w:b/>
          <w:bCs/>
        </w:rPr>
        <w:t xml:space="preserve">ası” </w:t>
      </w:r>
      <w:r w:rsidR="00483AA1" w:rsidRPr="00D206B8">
        <w:rPr>
          <w:rFonts w:ascii="Calibri" w:eastAsia="Times New Roman" w:hAnsi="Calibri" w:cs="Times New Roman"/>
          <w:bCs/>
        </w:rPr>
        <w:t>oluşturmuştur.</w:t>
      </w:r>
    </w:p>
    <w:p w:rsidR="00483AA1" w:rsidRPr="00D206B8" w:rsidRDefault="00483AA1" w:rsidP="00D206B8">
      <w:pPr>
        <w:spacing w:after="0" w:line="276" w:lineRule="auto"/>
        <w:jc w:val="both"/>
        <w:rPr>
          <w:rFonts w:ascii="Calibri" w:eastAsia="Times New Roman" w:hAnsi="Calibri" w:cs="Times New Roman"/>
        </w:rPr>
      </w:pPr>
    </w:p>
    <w:p w:rsidR="00483AA1" w:rsidRPr="00D206B8" w:rsidRDefault="00483AA1" w:rsidP="00D206B8">
      <w:pPr>
        <w:spacing w:after="0" w:line="276" w:lineRule="auto"/>
        <w:jc w:val="both"/>
        <w:rPr>
          <w:rFonts w:ascii="Calibri" w:eastAsia="Times New Roman" w:hAnsi="Calibri" w:cs="Times New Roman"/>
        </w:rPr>
      </w:pPr>
      <w:r w:rsidRPr="00D206B8">
        <w:rPr>
          <w:rFonts w:ascii="Calibri" w:eastAsia="Times New Roman" w:hAnsi="Calibri" w:cs="Times New Roman"/>
          <w:u w:val="single"/>
        </w:rPr>
        <w:t>“Uzlaştırma”</w:t>
      </w:r>
      <w:r w:rsidRPr="00D206B8">
        <w:rPr>
          <w:rFonts w:ascii="Calibri" w:eastAsia="Times New Roman" w:hAnsi="Calibri" w:cs="Times New Roman"/>
        </w:rPr>
        <w:t xml:space="preserve"> (conciliation) ibaresiyle “uzlaştırma” “arabuluculuk” (mediation) veya benzer bir tanım altında tarafların sözleşmeden ya da diğer bir hukuki ilişkinden doğan uyuşmazlıklarını, üçüncü bir kişinin yardımıyla çözüme bağladıkları bir uyuşmazlık çözüm yöntemi ifade edilmektedir.</w:t>
      </w:r>
    </w:p>
    <w:p w:rsidR="00483AA1" w:rsidRPr="00D206B8" w:rsidRDefault="00483AA1" w:rsidP="00D206B8">
      <w:pPr>
        <w:spacing w:after="0" w:line="276" w:lineRule="auto"/>
        <w:jc w:val="both"/>
        <w:rPr>
          <w:rFonts w:ascii="Calibri" w:eastAsia="Times New Roman" w:hAnsi="Calibri" w:cs="Times New Roman"/>
        </w:rPr>
      </w:pPr>
    </w:p>
    <w:p w:rsidR="00483AA1" w:rsidRPr="00D206B8" w:rsidRDefault="00483AA1" w:rsidP="00D206B8">
      <w:pPr>
        <w:spacing w:after="0" w:line="276" w:lineRule="auto"/>
        <w:jc w:val="both"/>
        <w:rPr>
          <w:rFonts w:ascii="Calibri" w:eastAsia="Times New Roman" w:hAnsi="Calibri" w:cs="Times New Roman"/>
        </w:rPr>
      </w:pPr>
      <w:r w:rsidRPr="00D206B8">
        <w:rPr>
          <w:rFonts w:ascii="Calibri" w:eastAsia="Times New Roman" w:hAnsi="Calibri" w:cs="Times New Roman"/>
        </w:rPr>
        <w:t>“</w:t>
      </w:r>
      <w:r w:rsidRPr="00D206B8">
        <w:rPr>
          <w:rFonts w:ascii="Calibri" w:eastAsia="Times New Roman" w:hAnsi="Calibri" w:cs="Times New Roman"/>
          <w:u w:val="single"/>
        </w:rPr>
        <w:t>Sulh Sözleşmeleri”</w:t>
      </w:r>
      <w:r w:rsidRPr="00D206B8">
        <w:rPr>
          <w:rFonts w:ascii="Calibri" w:eastAsia="Times New Roman" w:hAnsi="Calibri" w:cs="Times New Roman"/>
        </w:rPr>
        <w:t xml:space="preserve"> (settlement agreement) ile bir uyuşmazlığı tümüyle veya kısmen çözüme bağlayan taraflar arasında yapılmış sözleşmeler ifade edilmektedir.</w:t>
      </w:r>
    </w:p>
    <w:p w:rsidR="00483AA1" w:rsidRPr="00D206B8" w:rsidRDefault="00483AA1" w:rsidP="00D206B8">
      <w:pPr>
        <w:spacing w:after="0" w:line="276" w:lineRule="auto"/>
        <w:jc w:val="both"/>
        <w:rPr>
          <w:rFonts w:ascii="Calibri" w:eastAsia="Times New Roman" w:hAnsi="Calibri" w:cs="Times New Roman"/>
        </w:rPr>
      </w:pPr>
    </w:p>
    <w:p w:rsidR="00483AA1" w:rsidRPr="00D206B8" w:rsidRDefault="00483AA1" w:rsidP="00D206B8">
      <w:pPr>
        <w:spacing w:after="0" w:line="276" w:lineRule="auto"/>
        <w:jc w:val="both"/>
        <w:rPr>
          <w:rFonts w:ascii="Calibri" w:eastAsia="Times New Roman" w:hAnsi="Calibri" w:cs="Times New Roman"/>
        </w:rPr>
      </w:pPr>
      <w:r w:rsidRPr="00D206B8">
        <w:rPr>
          <w:rFonts w:ascii="Calibri" w:eastAsia="Times New Roman" w:hAnsi="Calibri" w:cs="Times New Roman"/>
        </w:rPr>
        <w:t xml:space="preserve">Çalışma Grubu’nca uluslararası uzlaştırma veya arabuluculuk sonucu ortaya çıkacak uzlaşma sözleşmelerinin icrası hakkında hazırlanacak metne ilişkin olarak, </w:t>
      </w:r>
      <w:r w:rsidRPr="00D206B8">
        <w:rPr>
          <w:rFonts w:ascii="Calibri" w:eastAsia="Times New Roman" w:hAnsi="Calibri" w:cs="Times New Roman"/>
          <w:u w:val="single"/>
        </w:rPr>
        <w:t xml:space="preserve">1958 tarihli Yabancı Hakem Kararlarının Tanınması ve Tenfizi hakkında New York Sözleşmesi </w:t>
      </w:r>
      <w:r w:rsidRPr="00D206B8">
        <w:rPr>
          <w:rFonts w:ascii="Calibri" w:eastAsia="Times New Roman" w:hAnsi="Calibri" w:cs="Times New Roman"/>
        </w:rPr>
        <w:t xml:space="preserve">benzeri çok taraflı bir sözleşmenin hazırlanmasını savunmaktadır. Bir çeşit </w:t>
      </w:r>
      <w:r w:rsidRPr="00D206B8">
        <w:rPr>
          <w:rFonts w:ascii="Calibri" w:eastAsia="Times New Roman" w:hAnsi="Calibri" w:cs="Times New Roman"/>
          <w:u w:val="single"/>
        </w:rPr>
        <w:t>New York II Sözleşmesi</w:t>
      </w:r>
      <w:r w:rsidRPr="00D206B8">
        <w:rPr>
          <w:rFonts w:ascii="Calibri" w:eastAsia="Times New Roman" w:hAnsi="Calibri" w:cs="Times New Roman"/>
        </w:rPr>
        <w:t xml:space="preserve"> olarak nitelenebilecek bir uluslararası sözleşme hazırlanması görüşü özellikle ABD tarafından savunulmakta ve bazı delegasyonlar tarafından da desteklenmektedir. Buna karşı, bazı ülkeler ise, “arabuluculuk yoluyla oluşan uzlaşma sözleşmelerinin icrası” için bir</w:t>
      </w:r>
      <w:r w:rsidRPr="00D206B8">
        <w:rPr>
          <w:rFonts w:ascii="Calibri" w:eastAsia="Times New Roman" w:hAnsi="Calibri" w:cs="Times New Roman"/>
          <w:i/>
        </w:rPr>
        <w:t xml:space="preserve"> </w:t>
      </w:r>
      <w:r w:rsidRPr="00D206B8">
        <w:rPr>
          <w:rFonts w:ascii="Calibri" w:eastAsia="Times New Roman" w:hAnsi="Calibri" w:cs="Times New Roman"/>
          <w:i/>
          <w:u w:val="single"/>
        </w:rPr>
        <w:t>“yasa</w:t>
      </w:r>
      <w:r w:rsidR="00A95CB2" w:rsidRPr="00D206B8">
        <w:rPr>
          <w:rFonts w:ascii="Calibri" w:eastAsia="Times New Roman" w:hAnsi="Calibri" w:cs="Times New Roman"/>
          <w:i/>
          <w:u w:val="single"/>
        </w:rPr>
        <w:t xml:space="preserve"> </w:t>
      </w:r>
      <w:r w:rsidRPr="00D206B8">
        <w:rPr>
          <w:rFonts w:ascii="Calibri" w:eastAsia="Times New Roman" w:hAnsi="Calibri" w:cs="Times New Roman"/>
          <w:i/>
          <w:u w:val="single"/>
        </w:rPr>
        <w:t>koyma kılavuzu</w:t>
      </w:r>
      <w:r w:rsidRPr="00D206B8">
        <w:rPr>
          <w:rFonts w:ascii="Calibri" w:eastAsia="Times New Roman" w:hAnsi="Calibri" w:cs="Times New Roman"/>
          <w:i/>
        </w:rPr>
        <w:t xml:space="preserve">” </w:t>
      </w:r>
      <w:r w:rsidRPr="00D206B8">
        <w:rPr>
          <w:rFonts w:ascii="Calibri" w:eastAsia="Times New Roman" w:hAnsi="Calibri" w:cs="Times New Roman"/>
        </w:rPr>
        <w:t xml:space="preserve">(legislative guide) hazırlanması ya da bir </w:t>
      </w:r>
      <w:r w:rsidRPr="00D206B8">
        <w:rPr>
          <w:rFonts w:ascii="Calibri" w:eastAsia="Times New Roman" w:hAnsi="Calibri" w:cs="Times New Roman"/>
          <w:i/>
          <w:u w:val="single"/>
        </w:rPr>
        <w:t>“düzenleme”</w:t>
      </w:r>
      <w:r w:rsidRPr="00D206B8">
        <w:rPr>
          <w:rFonts w:ascii="Calibri" w:eastAsia="Times New Roman" w:hAnsi="Calibri" w:cs="Times New Roman"/>
          <w:i/>
        </w:rPr>
        <w:t xml:space="preserve"> </w:t>
      </w:r>
      <w:r w:rsidRPr="00D206B8">
        <w:rPr>
          <w:rFonts w:ascii="Calibri" w:eastAsia="Times New Roman" w:hAnsi="Calibri" w:cs="Times New Roman"/>
        </w:rPr>
        <w:t xml:space="preserve">(regulation) yapılmasının yeterli ve amaca daha uygun olacağını belirtmişlerdir. </w:t>
      </w:r>
    </w:p>
    <w:p w:rsidR="00A95CB2" w:rsidRPr="00D206B8" w:rsidRDefault="00A95CB2" w:rsidP="00D206B8">
      <w:pPr>
        <w:spacing w:after="0" w:line="276" w:lineRule="auto"/>
        <w:jc w:val="both"/>
        <w:rPr>
          <w:rFonts w:ascii="Calibri" w:eastAsia="Times New Roman" w:hAnsi="Calibri" w:cs="Times New Roman"/>
        </w:rPr>
      </w:pPr>
    </w:p>
    <w:p w:rsidR="00A95CB2" w:rsidRPr="00D206B8" w:rsidRDefault="00A95CB2" w:rsidP="00D206B8">
      <w:pPr>
        <w:spacing w:after="0" w:line="276" w:lineRule="auto"/>
        <w:jc w:val="both"/>
        <w:rPr>
          <w:rFonts w:ascii="Calibri" w:eastAsia="Times New Roman" w:hAnsi="Calibri" w:cs="Times New Roman"/>
        </w:rPr>
      </w:pPr>
      <w:r w:rsidRPr="00D206B8">
        <w:rPr>
          <w:rFonts w:ascii="Calibri" w:eastAsia="Times New Roman" w:hAnsi="Calibri" w:cs="Times New Roman"/>
        </w:rPr>
        <w:t xml:space="preserve">Görüşmelerde belgenin düzenleme veya konvansiyon olarak </w:t>
      </w:r>
      <w:r w:rsidR="00D206B8" w:rsidRPr="00D206B8">
        <w:rPr>
          <w:rFonts w:ascii="Calibri" w:eastAsia="Times New Roman" w:hAnsi="Calibri" w:cs="Times New Roman"/>
        </w:rPr>
        <w:t>u</w:t>
      </w:r>
      <w:r w:rsidRPr="00D206B8">
        <w:rPr>
          <w:rFonts w:ascii="Calibri" w:eastAsia="Times New Roman" w:hAnsi="Calibri" w:cs="Times New Roman"/>
        </w:rPr>
        <w:t xml:space="preserve">ygulamaya konması halleri için opsiyonlu bir inceleme yapılmaktadır. Belgenin tamamlanmasına yaklaşıldığından belge içerisindeki maddeler gerek içerik gerek şeklen tartışma ve görüşmelere konu olmaktadır. </w:t>
      </w:r>
    </w:p>
    <w:p w:rsidR="00483AA1" w:rsidRPr="00D206B8" w:rsidRDefault="00483AA1" w:rsidP="00D206B8">
      <w:pPr>
        <w:spacing w:after="0" w:line="276" w:lineRule="auto"/>
        <w:jc w:val="both"/>
        <w:rPr>
          <w:rFonts w:ascii="Calibri" w:eastAsia="Times New Roman" w:hAnsi="Calibri" w:cs="Times New Roman"/>
        </w:rPr>
      </w:pPr>
    </w:p>
    <w:p w:rsidR="00483AA1" w:rsidRPr="00D206B8" w:rsidRDefault="008A2241" w:rsidP="00D206B8">
      <w:pPr>
        <w:spacing w:after="0" w:line="276" w:lineRule="auto"/>
        <w:jc w:val="both"/>
        <w:rPr>
          <w:rFonts w:ascii="Calibri" w:eastAsia="Times New Roman" w:hAnsi="Calibri" w:cs="Times New Roman"/>
        </w:rPr>
      </w:pPr>
      <w:r w:rsidRPr="008A2241">
        <w:rPr>
          <w:rFonts w:ascii="Calibri" w:eastAsia="Times New Roman" w:hAnsi="Calibri" w:cs="Times New Roman"/>
        </w:rPr>
        <w:t>Belge içeriğinde üzerinde uzlaşı sağlanamayan maddeler ÇG II’nin 5-9 Şubat 20</w:t>
      </w:r>
      <w:r>
        <w:rPr>
          <w:rFonts w:ascii="Calibri" w:eastAsia="Times New Roman" w:hAnsi="Calibri" w:cs="Times New Roman"/>
        </w:rPr>
        <w:t xml:space="preserve">18 tarihleri arasında </w:t>
      </w:r>
      <w:r w:rsidRPr="008A2241">
        <w:rPr>
          <w:rFonts w:ascii="Calibri" w:eastAsia="Times New Roman" w:hAnsi="Calibri" w:cs="Times New Roman"/>
        </w:rPr>
        <w:t>New York Birleş Milletler Merkezi’nde yapılması planlanan 68. Oturumunda ele alınacak ve değerlendirilecektir.</w:t>
      </w:r>
    </w:p>
    <w:p w:rsidR="00483AA1" w:rsidRPr="00D206B8" w:rsidRDefault="00483AA1" w:rsidP="00D206B8">
      <w:pPr>
        <w:spacing w:after="0" w:line="276" w:lineRule="auto"/>
        <w:jc w:val="both"/>
        <w:rPr>
          <w:rFonts w:ascii="Calibri" w:eastAsia="Times New Roman" w:hAnsi="Calibri" w:cs="Times New Roman"/>
        </w:rPr>
      </w:pPr>
    </w:p>
    <w:p w:rsidR="00734271" w:rsidRDefault="008A2241" w:rsidP="00D206B8">
      <w:pPr>
        <w:spacing w:line="276" w:lineRule="auto"/>
        <w:rPr>
          <w:rFonts w:ascii="Calibri" w:hAnsi="Calibri"/>
        </w:rPr>
      </w:pPr>
      <w:r>
        <w:rPr>
          <w:rFonts w:ascii="Calibri" w:hAnsi="Calibri"/>
        </w:rPr>
        <w:t>Saygılarımla</w:t>
      </w:r>
      <w:bookmarkStart w:id="0" w:name="_GoBack"/>
      <w:bookmarkEnd w:id="0"/>
      <w:r w:rsidR="00D206B8">
        <w:rPr>
          <w:rFonts w:ascii="Calibri" w:hAnsi="Calibri"/>
        </w:rPr>
        <w:t>,</w:t>
      </w:r>
    </w:p>
    <w:p w:rsidR="00D206B8" w:rsidRPr="00D206B8" w:rsidRDefault="00D206B8" w:rsidP="00D206B8">
      <w:pPr>
        <w:spacing w:line="276" w:lineRule="auto"/>
        <w:rPr>
          <w:rFonts w:ascii="Calibri" w:hAnsi="Calibri"/>
        </w:rPr>
      </w:pPr>
      <w:r>
        <w:rPr>
          <w:rFonts w:ascii="Calibri" w:hAnsi="Calibri"/>
        </w:rPr>
        <w:t>Av. Buse Niseoğlu</w:t>
      </w:r>
    </w:p>
    <w:sectPr w:rsidR="00D206B8" w:rsidRPr="00D206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9A2" w:rsidRDefault="005B19A2" w:rsidP="005E3C14">
      <w:pPr>
        <w:spacing w:after="0" w:line="240" w:lineRule="auto"/>
      </w:pPr>
      <w:r>
        <w:separator/>
      </w:r>
    </w:p>
  </w:endnote>
  <w:endnote w:type="continuationSeparator" w:id="0">
    <w:p w:rsidR="005B19A2" w:rsidRDefault="005B19A2" w:rsidP="005E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9A2" w:rsidRDefault="005B19A2" w:rsidP="005E3C14">
      <w:pPr>
        <w:spacing w:after="0" w:line="240" w:lineRule="auto"/>
      </w:pPr>
      <w:r>
        <w:separator/>
      </w:r>
    </w:p>
  </w:footnote>
  <w:footnote w:type="continuationSeparator" w:id="0">
    <w:p w:rsidR="005B19A2" w:rsidRDefault="005B19A2" w:rsidP="005E3C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A1"/>
    <w:rsid w:val="00483AA1"/>
    <w:rsid w:val="005B19A2"/>
    <w:rsid w:val="005E3C14"/>
    <w:rsid w:val="00734271"/>
    <w:rsid w:val="008A2241"/>
    <w:rsid w:val="00A95CB2"/>
    <w:rsid w:val="00D206B8"/>
    <w:rsid w:val="00E719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3565"/>
  <w15:chartTrackingRefBased/>
  <w15:docId w15:val="{56BFE97A-BEC3-4E0D-A65F-6C7436B2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rsid w:val="005E3C14"/>
    <w:pPr>
      <w:spacing w:after="0" w:line="240" w:lineRule="auto"/>
    </w:pPr>
    <w:rPr>
      <w:rFonts w:ascii="Arial" w:eastAsia="Times New Roman" w:hAnsi="Arial" w:cs="Times New Roman"/>
      <w:sz w:val="24"/>
      <w:szCs w:val="24"/>
    </w:rPr>
  </w:style>
  <w:style w:type="character" w:customStyle="1" w:styleId="DipnotMetniChar">
    <w:name w:val="Dipnot Metni Char"/>
    <w:basedOn w:val="VarsaylanParagrafYazTipi"/>
    <w:link w:val="DipnotMetni"/>
    <w:rsid w:val="005E3C14"/>
    <w:rPr>
      <w:rFonts w:ascii="Arial" w:eastAsia="Times New Roman" w:hAnsi="Arial" w:cs="Times New Roman"/>
      <w:sz w:val="24"/>
      <w:szCs w:val="24"/>
    </w:rPr>
  </w:style>
  <w:style w:type="character" w:styleId="DipnotBavurusu">
    <w:name w:val="footnote reference"/>
    <w:rsid w:val="005E3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Buse Niseoglu</dc:creator>
  <cp:keywords/>
  <dc:description/>
  <cp:lastModifiedBy>Buse Niseoglu</cp:lastModifiedBy>
  <cp:revision>6</cp:revision>
  <dcterms:created xsi:type="dcterms:W3CDTF">2017-10-26T13:36:00Z</dcterms:created>
  <dcterms:modified xsi:type="dcterms:W3CDTF">2017-10-26T13:57:00Z</dcterms:modified>
</cp:coreProperties>
</file>